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meStyle"/>
        <w:spacing w:before="0" w:after="40" w:line="240" w:lineRule="auto"/>
        <w:jc w:val="center"/>
      </w:pPr>
      <w:r>
        <w:rPr>
          <w:b/>
        </w:rPr>
        <w:t>BRIAN E. KANE</w:t>
      </w:r>
    </w:p>
    <w:p>
      <w:pPr>
        <w:spacing w:before="0" w:after="60" w:line="240" w:lineRule="auto"/>
        <w:jc w:val="center"/>
      </w:pPr>
      <w:r>
        <w:t>AI Engineer | Agentic AI Engineer | Applied AI Solutions Architect</w:t>
      </w:r>
    </w:p>
    <w:p>
      <w:pPr>
        <w:spacing w:before="0" w:after="120" w:line="240" w:lineRule="auto"/>
        <w:jc w:val="center"/>
        <w:pBdr>
          <w:bottom w:val="single" w:sz="8" w:space="1" w:color="A7B6C8"/>
        </w:pBdr>
      </w:pPr>
      <w:r>
        <w:t>River Ranch, Florida  |  Remote Only  |  LinkedIn: add  |  GitHub: add  |  BrianEKane.com</w:t>
      </w:r>
    </w:p>
    <w:p>
      <w:pPr>
        <w:pStyle w:val="SectionHeader"/>
        <w:spacing w:before="80" w:after="40" w:line="240" w:lineRule="auto"/>
      </w:pPr>
      <w:r>
        <w:t>PROFESSIONAL SUMMARY</w:t>
      </w:r>
    </w:p>
    <w:p>
      <w:pPr>
        <w:pStyle w:val="BodyTight"/>
        <w:spacing w:before="0" w:after="120" w:line="259" w:lineRule="auto"/>
      </w:pPr>
      <w:r>
        <w:t>AI-focused software engineer with 10+ years of enterprise full-stack experience and hands-on applied AI work spanning LLM applications, agentic AI, retrieval-augmented generation, MCP-based tooling, vector databases, prompt and context engineering, and autonomous workflows. Built a strong production engineering foundation through large-scale healthcare platform modernization using Java, Spring Boot, React, Python, Docker, Terraform, AWS, and cloud-native delivery practices. Combines real-world enterprise delivery, accessibility, cloud migration, and stakeholder partnership with a fast-ramping AI engineering toolkit suited for AI Engineer, Agentic AI Engineer, and AI Solutions Architect roles.</w:t>
      </w:r>
    </w:p>
    <w:p>
      <w:pPr>
        <w:pStyle w:val="SectionHeader"/>
        <w:spacing w:before="40" w:after="40" w:line="240" w:lineRule="auto"/>
      </w:pPr>
      <w:r>
        <w:t>CORE SKILLS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3" w:space="0" w:color="D7E0EA"/>
          <w:left w:val="single" w:sz="3" w:space="0" w:color="D7E0EA"/>
          <w:bottom w:val="single" w:sz="3" w:space="0" w:color="D7E0EA"/>
          <w:right w:val="single" w:sz="3" w:space="0" w:color="D7E0EA"/>
          <w:insideH w:val="single" w:sz="3" w:space="0" w:color="D7E0EA"/>
          <w:insideV w:val="single" w:sz="3" w:space="0" w:color="D7E0EA"/>
        </w:tblBorders>
      </w:tblPr>
      <w:tblGrid>
        <w:gridCol w:w="5256"/>
        <w:gridCol w:w="5256"/>
      </w:tblGrid>
      <w:tr>
        <w:tc>
          <w:tcPr>
            <w:tcW w:type="dxa" w:w="2232"/>
            <w:vAlign w:val="center"/>
            <w:shd w:fill="F3F6F9"/>
          </w:tcPr>
          <w:p>
            <w:r>
              <w:t>AI / Applied AI</w:t>
            </w:r>
          </w:p>
        </w:tc>
        <w:tc>
          <w:tcPr>
            <w:tcW w:type="dxa" w:w="8424"/>
            <w:vAlign w:val="center"/>
          </w:tcPr>
          <w:p>
            <w:r>
              <w:t>LLM applications, agentic AI, OpenAI models, RAG, MCP, vector databases, prompt engineering, context engineering, autonomous workflows</w:t>
            </w:r>
          </w:p>
        </w:tc>
      </w:tr>
      <w:tr>
        <w:tc>
          <w:tcPr>
            <w:tcW w:type="dxa" w:w="2232"/>
            <w:vAlign w:val="center"/>
            <w:shd w:fill="F3F6F9"/>
          </w:tcPr>
          <w:p>
            <w:r>
              <w:t>Languages</w:t>
            </w:r>
          </w:p>
        </w:tc>
        <w:tc>
          <w:tcPr>
            <w:tcW w:type="dxa" w:w="8424"/>
            <w:vAlign w:val="center"/>
          </w:tcPr>
          <w:p>
            <w:r>
              <w:t>Python, Java, JavaScript, TypeScript</w:t>
            </w:r>
          </w:p>
        </w:tc>
      </w:tr>
      <w:tr>
        <w:tc>
          <w:tcPr>
            <w:tcW w:type="dxa" w:w="2232"/>
            <w:vAlign w:val="center"/>
            <w:shd w:fill="F3F6F9"/>
          </w:tcPr>
          <w:p>
            <w:r>
              <w:t>Frontend</w:t>
            </w:r>
          </w:p>
        </w:tc>
        <w:tc>
          <w:tcPr>
            <w:tcW w:type="dxa" w:w="8424"/>
            <w:vAlign w:val="center"/>
          </w:tcPr>
          <w:p>
            <w:r>
              <w:t>React, Next.js, React Router, Redux, React Testing Library, accessible UI design</w:t>
            </w:r>
          </w:p>
        </w:tc>
      </w:tr>
      <w:tr>
        <w:tc>
          <w:tcPr>
            <w:tcW w:type="dxa" w:w="2232"/>
            <w:vAlign w:val="center"/>
            <w:shd w:fill="F3F6F9"/>
          </w:tcPr>
          <w:p>
            <w:r>
              <w:t>Backend</w:t>
            </w:r>
          </w:p>
        </w:tc>
        <w:tc>
          <w:tcPr>
            <w:tcW w:type="dxa" w:w="8424"/>
            <w:vAlign w:val="center"/>
          </w:tcPr>
          <w:p>
            <w:r>
              <w:t>Spring, Spring Boot, REST APIs, OAuth2, Maven, JUnit, Hibernate</w:t>
            </w:r>
          </w:p>
        </w:tc>
      </w:tr>
      <w:tr>
        <w:tc>
          <w:tcPr>
            <w:tcW w:type="dxa" w:w="2232"/>
            <w:vAlign w:val="center"/>
            <w:shd w:fill="F3F6F9"/>
          </w:tcPr>
          <w:p>
            <w:r>
              <w:t>Cloud / DevOps</w:t>
            </w:r>
          </w:p>
        </w:tc>
        <w:tc>
          <w:tcPr>
            <w:tcW w:type="dxa" w:w="8424"/>
            <w:vAlign w:val="center"/>
          </w:tcPr>
          <w:p>
            <w:r>
              <w:t>AWS, Pivotal Cloud Foundry, Docker, Terraform, CI/CD, cloud migration</w:t>
            </w:r>
          </w:p>
        </w:tc>
      </w:tr>
      <w:tr>
        <w:tc>
          <w:tcPr>
            <w:tcW w:type="dxa" w:w="2232"/>
            <w:vAlign w:val="center"/>
            <w:shd w:fill="F3F6F9"/>
          </w:tcPr>
          <w:p>
            <w:r>
              <w:t>Leadership</w:t>
            </w:r>
          </w:p>
        </w:tc>
        <w:tc>
          <w:tcPr>
            <w:tcW w:type="dxa" w:w="8424"/>
            <w:vAlign w:val="center"/>
          </w:tcPr>
          <w:p>
            <w:r>
              <w:t>Technical mentoring, architecture contribution, cross-functional delivery, stakeholder collaboration</w:t>
            </w:r>
          </w:p>
        </w:tc>
      </w:tr>
    </w:tbl>
    <w:p>
      <w:pPr>
        <w:pStyle w:val="SectionHeader"/>
        <w:spacing w:before="120" w:after="40" w:line="240" w:lineRule="auto"/>
      </w:pPr>
      <w:r>
        <w:t>PROFESSIONAL EXPERIENCE</w:t>
      </w:r>
    </w:p>
    <w:p>
      <w:pPr>
        <w:pStyle w:val="RoleTitle"/>
        <w:spacing w:before="0" w:after="0" w:line="240" w:lineRule="auto"/>
      </w:pPr>
      <w:r>
        <w:t>Express Scripts / The Cigna Group / Evernorth</w:t>
      </w:r>
    </w:p>
    <w:p>
      <w:pPr>
        <w:pStyle w:val="Meta"/>
        <w:spacing w:before="0" w:after="40" w:line="240" w:lineRule="auto"/>
      </w:pPr>
      <w:r>
        <w:t xml:space="preserve">Software Advisor | Senior Software Analyst | Software Analyst | Intern    </w:t>
      </w:r>
      <w:r>
        <w:rPr>
          <w:b/>
        </w:rPr>
        <w:t xml:space="preserve"> |  10/2015 – Present</w:t>
      </w:r>
    </w:p>
    <w:p>
      <w:pPr>
        <w:pStyle w:val="BodyTight"/>
        <w:spacing w:before="0" w:after="20" w:line="252" w:lineRule="auto"/>
        <w:ind w:left="288" w:hanging="259"/>
      </w:pPr>
      <w:r>
        <w:t>• Selected as 1 of 8 engineers chosen to help lead the initial modernization of the Express Scripts consumer-facing web platform, demonstrating strong architecture, migration, and delivery capability applicable to AI-enabled platform work.</w:t>
      </w:r>
    </w:p>
    <w:p>
      <w:pPr>
        <w:pStyle w:val="BodyTight"/>
        <w:spacing w:before="0" w:after="20" w:line="252" w:lineRule="auto"/>
        <w:ind w:left="288" w:hanging="259"/>
      </w:pPr>
      <w:r>
        <w:t>• Built and enhanced customer-facing functionality for Order Status, Automatic Refill, Delivery Date Changes, and Over-the-Counter Medications across React front-end applications and Java / Spring Boot backend services.</w:t>
      </w:r>
    </w:p>
    <w:p>
      <w:pPr>
        <w:pStyle w:val="BodyTight"/>
        <w:spacing w:before="0" w:after="20" w:line="252" w:lineRule="auto"/>
        <w:ind w:left="288" w:hanging="259"/>
      </w:pPr>
      <w:r>
        <w:t>• Delivered measurable business impact by helping improve page load performance by 20%, reduce errors by 25%, increase digital usage by 30–40%, and contribute to a 30% reduction in phone-based orders.</w:t>
      </w:r>
    </w:p>
    <w:p>
      <w:pPr>
        <w:pStyle w:val="BodyTight"/>
        <w:spacing w:before="0" w:after="20" w:line="252" w:lineRule="auto"/>
        <w:ind w:left="288" w:hanging="259"/>
      </w:pPr>
      <w:r>
        <w:t>• Worked across API, front-end, and integration layers with React, React Router, Redux, JavaScript, TypeScript, Java, Spring, Spring Boot, REST APIs, Maven, JUnit, OAuth2, and Hibernate in a large-scale enterprise healthcare environment.</w:t>
      </w:r>
    </w:p>
    <w:p>
      <w:pPr>
        <w:pStyle w:val="BodyTight"/>
        <w:spacing w:before="0" w:after="20" w:line="252" w:lineRule="auto"/>
        <w:ind w:left="288" w:hanging="259"/>
      </w:pPr>
      <w:r>
        <w:t>• Contributed to application and infrastructure migration efforts from Pivotal Cloud Foundry to AWS, strengthening experience with cloud deployment patterns, scalability, and production operations relevant to modern AI systems.</w:t>
      </w:r>
    </w:p>
    <w:p>
      <w:pPr>
        <w:pStyle w:val="BodyTight"/>
        <w:spacing w:before="0" w:after="20" w:line="252" w:lineRule="auto"/>
        <w:ind w:left="288" w:hanging="259"/>
      </w:pPr>
      <w:r>
        <w:t>• Helped establish front-end component patterns and implementation standards for a crisp, accessible user experience; ensured delivered features met accessibility and A11y testing requirements.</w:t>
      </w:r>
    </w:p>
    <w:p>
      <w:pPr>
        <w:pStyle w:val="BodyTight"/>
        <w:spacing w:before="0" w:after="20" w:line="252" w:lineRule="auto"/>
        <w:ind w:left="288" w:hanging="259"/>
      </w:pPr>
      <w:r>
        <w:t>• Trained 10–15 junior and mid-level engineers in React and Java-based full-stack development, helping onboard teammates into a new framework and raising overall team effectiveness.</w:t>
      </w:r>
    </w:p>
    <w:p>
      <w:pPr>
        <w:pStyle w:val="BodyTight"/>
        <w:spacing w:before="0" w:after="20" w:line="252" w:lineRule="auto"/>
        <w:ind w:left="288" w:hanging="259"/>
      </w:pPr>
      <w:r>
        <w:t>• Partnered daily with business stakeholders, translated requirements into production-ready solutions, and contributed to architecture decisions within the established enterprise stack.</w:t>
      </w:r>
    </w:p>
    <w:p>
      <w:pPr>
        <w:pStyle w:val="SectionHeader"/>
        <w:spacing w:before="100" w:after="40" w:line="240" w:lineRule="auto"/>
      </w:pPr>
      <w:r>
        <w:t>SELECTED AI &amp; AGENTIC ENGINEERING EXPERIENCE</w:t>
      </w:r>
    </w:p>
    <w:p>
      <w:pPr>
        <w:pStyle w:val="BodyTight"/>
        <w:spacing w:before="0" w:after="20" w:line="252" w:lineRule="auto"/>
        <w:ind w:left="288" w:hanging="259"/>
      </w:pPr>
      <w:r>
        <w:t>• Built hands-on AI and agentic application workflows using OpenAI models, LLM orchestration, retrieval-augmented generation, MCP-based tooling, vector databases, prompt engineering, context engineering, and autonomous task workflows.</w:t>
      </w:r>
    </w:p>
    <w:p>
      <w:pPr>
        <w:pStyle w:val="BodyTight"/>
        <w:spacing w:before="0" w:after="20" w:line="252" w:lineRule="auto"/>
        <w:ind w:left="288" w:hanging="259"/>
      </w:pPr>
      <w:r>
        <w:t>• Developed practical experience with tool-using agents, multi-step orchestration, retrieval pipelines, deployment-minded AI patterns, and evaluation-oriented iteration through recent applied AI work and advanced independent build projects.</w:t>
      </w:r>
    </w:p>
    <w:p>
      <w:pPr>
        <w:pStyle w:val="BodyTight"/>
        <w:spacing w:before="0" w:after="20" w:line="252" w:lineRule="auto"/>
        <w:ind w:left="288" w:hanging="259"/>
      </w:pPr>
      <w:r>
        <w:t>• Used Python-centered AI engineering practices with Dockerized environments, API integration, workflow automation, and modern software engineering discipline to prototype and refine AI-enabled solutions.</w:t>
      </w:r>
    </w:p>
    <w:p>
      <w:pPr>
        <w:pStyle w:val="SectionHeader"/>
        <w:spacing w:before="100" w:after="40" w:line="240" w:lineRule="auto"/>
      </w:pPr>
      <w:r>
        <w:t>AI PROFESSIONAL DEVELOPMENT</w:t>
      </w:r>
    </w:p>
    <w:p>
      <w:pPr>
        <w:pStyle w:val="BodyTight"/>
        <w:spacing w:before="0" w:after="0" w:line="247" w:lineRule="auto"/>
        <w:ind w:left="288" w:hanging="259"/>
      </w:pPr>
      <w:r>
        <w:rPr>
          <w:b/>
        </w:rPr>
        <w:t xml:space="preserve">• </w:t>
      </w:r>
      <w:r>
        <w:t>The Complete Agentic AI Engineering Course</w:t>
      </w:r>
    </w:p>
    <w:p>
      <w:pPr>
        <w:pStyle w:val="BodyTight"/>
        <w:spacing w:before="0" w:after="0" w:line="247" w:lineRule="auto"/>
        <w:ind w:left="288" w:hanging="259"/>
      </w:pPr>
      <w:r>
        <w:rPr>
          <w:b/>
        </w:rPr>
        <w:t xml:space="preserve">• </w:t>
      </w:r>
      <w:r>
        <w:t>AI Engineer Core Track: LLM Engineering, RAG, QLoRA, Agents</w:t>
      </w:r>
    </w:p>
    <w:p>
      <w:pPr>
        <w:pStyle w:val="BodyTight"/>
        <w:spacing w:before="0" w:after="0" w:line="247" w:lineRule="auto"/>
        <w:ind w:left="288" w:hanging="259"/>
      </w:pPr>
      <w:r>
        <w:rPr>
          <w:b/>
        </w:rPr>
        <w:t xml:space="preserve">• </w:t>
      </w:r>
      <w:r>
        <w:t>AI Builder with n8n: Create Agents &amp; Voice Agents</w:t>
      </w:r>
    </w:p>
    <w:p>
      <w:pPr>
        <w:pStyle w:val="BodyTight"/>
        <w:spacing w:before="0" w:after="0" w:line="247" w:lineRule="auto"/>
        <w:ind w:left="288" w:hanging="259"/>
      </w:pPr>
      <w:r>
        <w:rPr>
          <w:b/>
        </w:rPr>
        <w:t xml:space="preserve">• </w:t>
      </w:r>
      <w:r>
        <w:t>AI Leader: Generative AI &amp; Agentic AI for Leaders &amp; Founders</w:t>
      </w:r>
    </w:p>
    <w:p>
      <w:pPr>
        <w:pStyle w:val="BodyTight"/>
        <w:spacing w:before="0" w:after="0" w:line="247" w:lineRule="auto"/>
        <w:ind w:left="288" w:hanging="259"/>
      </w:pPr>
      <w:r>
        <w:rPr>
          <w:b/>
        </w:rPr>
        <w:t xml:space="preserve">• </w:t>
      </w:r>
      <w:r>
        <w:t>AI Engineer Production Track: Deploy LLMs &amp; Agents at Scale</w:t>
      </w:r>
    </w:p>
    <w:p>
      <w:pPr>
        <w:pStyle w:val="BodyTight"/>
        <w:spacing w:before="0" w:after="0" w:line="247" w:lineRule="auto"/>
        <w:ind w:left="288" w:hanging="259"/>
      </w:pPr>
      <w:r>
        <w:rPr>
          <w:b/>
        </w:rPr>
        <w:t xml:space="preserve">• </w:t>
      </w:r>
      <w:r>
        <w:t>AI Coder: Vibe Coder to Agentic Engineer in 3 Weeks</w:t>
      </w:r>
    </w:p>
    <w:p>
      <w:pPr>
        <w:pStyle w:val="SectionHeader"/>
        <w:spacing w:before="120" w:after="40" w:line="240" w:lineRule="auto"/>
      </w:pPr>
      <w:r>
        <w:t>EDUCATION</w:t>
      </w:r>
    </w:p>
    <w:p>
      <w:pPr>
        <w:pStyle w:val="BodyTight"/>
        <w:spacing w:before="0" w:after="20" w:line="245" w:lineRule="auto"/>
      </w:pPr>
      <w:r>
        <w:rPr>
          <w:b/>
        </w:rPr>
        <w:t>Diplomate, American Board of Chiropractic Neurology</w:t>
      </w:r>
      <w:r>
        <w:t xml:space="preserve"> — American College of Chiropractic Neurology / Westchester College</w:t>
      </w:r>
    </w:p>
    <w:p>
      <w:pPr>
        <w:pStyle w:val="BodyTight"/>
        <w:spacing w:before="0" w:after="20" w:line="245" w:lineRule="auto"/>
      </w:pPr>
      <w:r>
        <w:rPr>
          <w:b/>
        </w:rPr>
        <w:t>Doctor of Chiropractic</w:t>
      </w:r>
      <w:r>
        <w:t xml:space="preserve"> — Logan University</w:t>
      </w:r>
    </w:p>
    <w:p>
      <w:pPr>
        <w:pStyle w:val="BodyTight"/>
        <w:spacing w:before="0" w:after="20" w:line="245" w:lineRule="auto"/>
      </w:pPr>
      <w:r>
        <w:rPr>
          <w:b/>
        </w:rPr>
        <w:t>B.S., Human Anatomy</w:t>
      </w:r>
      <w:r>
        <w:t xml:space="preserve"> — Logan University</w:t>
      </w:r>
    </w:p>
    <w:p>
      <w:pPr>
        <w:pStyle w:val="BodyTight"/>
        <w:spacing w:before="0" w:after="20" w:line="245" w:lineRule="auto"/>
      </w:pPr>
      <w:r>
        <w:rPr>
          <w:b/>
        </w:rPr>
        <w:t>B.S., Human Biology</w:t>
      </w:r>
      <w:r>
        <w:t xml:space="preserve"> — Logan University</w:t>
      </w:r>
    </w:p>
    <w:p>
      <w:pPr>
        <w:pStyle w:val="BodyTight"/>
        <w:spacing w:before="0" w:after="20" w:line="245" w:lineRule="auto"/>
      </w:pPr>
      <w:r>
        <w:rPr>
          <w:b/>
        </w:rPr>
        <w:t>B.S., Zoology; minors in Physics and Chemistry</w:t>
      </w:r>
      <w:r>
        <w:t xml:space="preserve"> — Eastern Illinois University</w:t>
      </w:r>
    </w:p>
    <w:p>
      <w:pPr>
        <w:pStyle w:val="BodyTight"/>
        <w:spacing w:before="0" w:after="20" w:line="245" w:lineRule="auto"/>
      </w:pPr>
      <w:r>
        <w:rPr>
          <w:b/>
        </w:rPr>
        <w:t>Additional graduate study in recombinant genetics</w:t>
      </w:r>
    </w:p>
    <w:p>
      <w:pPr>
        <w:pStyle w:val="SectionHeader"/>
        <w:spacing w:before="100" w:after="40" w:line="240" w:lineRule="auto"/>
      </w:pPr>
      <w:r>
        <w:t>DISTINCTIVE VALUE</w:t>
      </w:r>
    </w:p>
    <w:p>
      <w:pPr>
        <w:pStyle w:val="BodyTight"/>
        <w:spacing w:before="0" w:after="20" w:line="247" w:lineRule="auto"/>
        <w:ind w:left="288" w:hanging="259"/>
      </w:pPr>
      <w:r>
        <w:t>AI POSITIONING</w:t>
      </w:r>
    </w:p>
    <w:p>
      <w:pPr>
        <w:pStyle w:val="BodyTight"/>
        <w:spacing w:before="0" w:after="20" w:line="247" w:lineRule="auto"/>
        <w:ind w:left="288" w:hanging="259"/>
      </w:pPr>
      <w:r>
        <w:t>• Strong candidate for AI Engineer and Agentic AI Engineer roles because of a production engineering foundation in enterprise healthcare platforms rather than AI-only coursework without delivery experience.</w:t>
      </w:r>
    </w:p>
    <w:p>
      <w:pPr>
        <w:pStyle w:val="BodyTight"/>
        <w:spacing w:before="0" w:after="20" w:line="247" w:lineRule="auto"/>
        <w:ind w:left="288" w:hanging="259"/>
      </w:pPr>
      <w:r>
        <w:t>• Brings a rare mix of healthcare domain depth, enterprise modernization experience, cloud and full-stack delivery, accessibility focus, and hands-on applied AI engineering.</w:t>
      </w:r>
    </w:p>
    <w:p>
      <w:r>
        <w:t>• Well suited for organizations that need engineers who can both build AI-enabled systems and deliver production-grade software across frontend, backend, cloud, and stakeholder-facing environments.</w:t>
      </w:r>
    </w:p>
    <w:sectPr w:rsidR="00FC693F" w:rsidRPr="0006063C" w:rsidSect="00034616">
      <w:pgSz w:w="12240" w:h="15840"/>
      <w:pgMar w:top="79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meStyle">
    <w:name w:val="NameStyle"/>
    <w:basedOn w:val="Normal"/>
    <w:rPr>
      <w:rFonts w:ascii="Aptos Display" w:hAnsi="Aptos Display"/>
      <w:b/>
      <w:color w:val="14365F"/>
      <w:sz w:val="40"/>
    </w:rPr>
  </w:style>
  <w:style w:type="paragraph" w:customStyle="1" w:styleId="Subhead">
    <w:name w:val="Subhead"/>
    <w:basedOn w:val="Normal"/>
    <w:rPr>
      <w:rFonts w:ascii="Aptos" w:hAnsi="Aptos"/>
      <w:b/>
      <w:color w:val="14365F"/>
      <w:sz w:val="21"/>
    </w:rPr>
  </w:style>
  <w:style w:type="paragraph" w:customStyle="1" w:styleId="SectionHeader">
    <w:name w:val="SectionHeader"/>
    <w:basedOn w:val="Normal"/>
    <w:rPr>
      <w:rFonts w:ascii="Aptos" w:hAnsi="Aptos"/>
      <w:b/>
      <w:color w:val="14365F"/>
      <w:sz w:val="22"/>
    </w:rPr>
  </w:style>
  <w:style w:type="paragraph" w:customStyle="1" w:styleId="BodyTight">
    <w:name w:val="BodyTight"/>
    <w:basedOn w:val="Normal"/>
    <w:rPr>
      <w:rFonts w:ascii="Aptos" w:hAnsi="Aptos"/>
      <w:sz w:val="20"/>
    </w:rPr>
  </w:style>
  <w:style w:type="paragraph" w:customStyle="1" w:styleId="RoleTitle">
    <w:name w:val="RoleTitle"/>
    <w:basedOn w:val="Normal"/>
    <w:rPr>
      <w:rFonts w:ascii="Aptos" w:hAnsi="Aptos"/>
      <w:b/>
      <w:sz w:val="21"/>
    </w:rPr>
  </w:style>
  <w:style w:type="paragraph" w:customStyle="1" w:styleId="Meta">
    <w:name w:val="Meta"/>
    <w:basedOn w:val="Normal"/>
    <w:rPr>
      <w:rFonts w:ascii="Aptos" w:hAnsi="Aptos"/>
      <w:i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